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F6B1E" w14:textId="0A5AB57F" w:rsidR="0062134F" w:rsidRPr="0062134F" w:rsidRDefault="0062134F" w:rsidP="00276A6A">
      <w:pPr>
        <w:pStyle w:val="MdHeading1"/>
        <w:spacing w:before="0" w:after="0" w:line="276" w:lineRule="auto"/>
        <w:jc w:val="center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ANEXO V-2</w:t>
      </w:r>
    </w:p>
    <w:p w14:paraId="42572719" w14:textId="6FDB0944" w:rsidR="00BF20C1" w:rsidRPr="0062134F" w:rsidRDefault="00000000" w:rsidP="00276A6A">
      <w:pPr>
        <w:pStyle w:val="MdHeading1"/>
        <w:spacing w:before="0" w:after="0" w:line="276" w:lineRule="auto"/>
        <w:jc w:val="center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Justificativa Técnica e Legal para Adoção do Pregão Presencial</w:t>
      </w:r>
    </w:p>
    <w:p w14:paraId="30C722B9" w14:textId="77777777" w:rsidR="00276A6A" w:rsidRPr="0062134F" w:rsidRDefault="00276A6A" w:rsidP="00276A6A">
      <w:pPr>
        <w:pStyle w:val="MdHeading1"/>
        <w:spacing w:before="0" w:after="0" w:line="276" w:lineRule="auto"/>
        <w:jc w:val="center"/>
        <w:rPr>
          <w:rFonts w:ascii="Verdana" w:hAnsi="Verdana" w:cs="Arial"/>
          <w:sz w:val="20"/>
          <w:szCs w:val="20"/>
        </w:rPr>
      </w:pPr>
    </w:p>
    <w:p w14:paraId="2483CFD6" w14:textId="628BD1C5" w:rsidR="00BF20C1" w:rsidRPr="0062134F" w:rsidRDefault="00000000" w:rsidP="00276A6A">
      <w:pPr>
        <w:pStyle w:val="MdHeading2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Contratação de Fornecimento Parcelado de Gás Liquefeito de Petróleo (GLP)</w:t>
      </w:r>
    </w:p>
    <w:p w14:paraId="28FB661C" w14:textId="4F88F718" w:rsidR="00276A6A" w:rsidRPr="0062134F" w:rsidRDefault="00276A6A" w:rsidP="00276A6A">
      <w:pPr>
        <w:pStyle w:val="MdHeading2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547C3307" w14:textId="77777777" w:rsidR="00276A6A" w:rsidRPr="0062134F" w:rsidRDefault="00276A6A" w:rsidP="00276A6A">
      <w:pPr>
        <w:pStyle w:val="MdHeading2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7D25349C" w14:textId="773E6FD9" w:rsidR="00BF20C1" w:rsidRPr="0062134F" w:rsidRDefault="00000000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1. Introdução e Fundamentação Legal</w:t>
      </w:r>
    </w:p>
    <w:p w14:paraId="176042DB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O presente documento visa fundamentar, de forma robusta e inquestionável, a opção pela modalidade </w:t>
      </w:r>
      <w:r w:rsidRPr="0062134F">
        <w:rPr>
          <w:rStyle w:val="MdStrong"/>
          <w:rFonts w:ascii="Verdana" w:hAnsi="Verdana" w:cs="Arial"/>
          <w:sz w:val="20"/>
          <w:szCs w:val="20"/>
        </w:rPr>
        <w:t>Pregão, na forma Presencial</w:t>
      </w:r>
      <w:r w:rsidRPr="0062134F">
        <w:rPr>
          <w:rFonts w:ascii="Verdana" w:hAnsi="Verdana" w:cs="Arial"/>
          <w:sz w:val="20"/>
          <w:szCs w:val="20"/>
        </w:rPr>
        <w:t>, para a contratação de empresa especializada no fornecimento parcelado de Gás Liquefeito de Petróleo (GLP) destinado às Unidades Administrativas da Prefeitura Municipal de São Gabriel da Palha.</w:t>
      </w:r>
    </w:p>
    <w:p w14:paraId="62F17A89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31335D7C" w14:textId="77777777" w:rsidR="00C25497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A Lei Federal nº 14.133/2021 estabelece, em seu Art. 17, § 2º, a regra da preferência pela forma eletrônica, mas ressalva a possibilidade de adoção da forma presencial, desde que devidamente </w:t>
      </w:r>
      <w:r w:rsidRPr="0062134F">
        <w:rPr>
          <w:rStyle w:val="MdStrong"/>
          <w:rFonts w:ascii="Verdana" w:hAnsi="Verdana" w:cs="Arial"/>
          <w:sz w:val="20"/>
          <w:szCs w:val="20"/>
        </w:rPr>
        <w:t>motivada</w:t>
      </w:r>
      <w:r w:rsidRPr="0062134F">
        <w:rPr>
          <w:rFonts w:ascii="Verdana" w:hAnsi="Verdana" w:cs="Arial"/>
          <w:sz w:val="20"/>
          <w:szCs w:val="20"/>
        </w:rPr>
        <w:t>:</w:t>
      </w:r>
    </w:p>
    <w:p w14:paraId="0C083DE3" w14:textId="77777777" w:rsidR="00C25497" w:rsidRPr="0062134F" w:rsidRDefault="00C25497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4AABF29C" w14:textId="1A961DF7" w:rsidR="00BF20C1" w:rsidRPr="0062134F" w:rsidRDefault="00000000" w:rsidP="00276A6A">
      <w:pPr>
        <w:pStyle w:val="MdParagraph"/>
        <w:spacing w:before="0" w:after="0" w:line="276" w:lineRule="auto"/>
        <w:ind w:left="4536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"Art. 17. O processo de licitação observará as seguintes diretrizes: (...) § 2º As licitações serão realizadas preferencialmente sob a forma eletrônica, admitida a utilização da forma presencial, desde que motivada, devendo a sessão pública ser registrada em ata e gravada em áudio e vídeo."</w:t>
      </w:r>
    </w:p>
    <w:p w14:paraId="418729E8" w14:textId="31D1B632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5477361" w14:textId="77777777" w:rsidR="00276A6A" w:rsidRPr="0062134F" w:rsidRDefault="00276A6A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95F7DF2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A motivação a seguir apresentada demonstra que a escolha pela forma presencial, neste caso específico, atende ao princípio da </w:t>
      </w:r>
      <w:r w:rsidRPr="0062134F">
        <w:rPr>
          <w:rStyle w:val="MdStrong"/>
          <w:rFonts w:ascii="Verdana" w:hAnsi="Verdana" w:cs="Arial"/>
          <w:sz w:val="20"/>
          <w:szCs w:val="20"/>
        </w:rPr>
        <w:t>vantajosidade</w:t>
      </w:r>
      <w:r w:rsidRPr="0062134F">
        <w:rPr>
          <w:rFonts w:ascii="Verdana" w:hAnsi="Verdana" w:cs="Arial"/>
          <w:sz w:val="20"/>
          <w:szCs w:val="20"/>
        </w:rPr>
        <w:t xml:space="preserve"> e da </w:t>
      </w:r>
      <w:r w:rsidRPr="0062134F">
        <w:rPr>
          <w:rStyle w:val="MdStrong"/>
          <w:rFonts w:ascii="Verdana" w:hAnsi="Verdana" w:cs="Arial"/>
          <w:sz w:val="20"/>
          <w:szCs w:val="20"/>
        </w:rPr>
        <w:t>ampla competitividade</w:t>
      </w:r>
      <w:r w:rsidRPr="0062134F">
        <w:rPr>
          <w:rFonts w:ascii="Verdana" w:hAnsi="Verdana" w:cs="Arial"/>
          <w:sz w:val="20"/>
          <w:szCs w:val="20"/>
        </w:rPr>
        <w:t xml:space="preserve"> (Art. 5º e Art. 11, inciso I, da Lei nº 14.133/2021), ao mesmo tempo em que se harmoniza com as peculiaridades logísticas e socioeconômicas do mercado local.</w:t>
      </w:r>
    </w:p>
    <w:p w14:paraId="7C832CCB" w14:textId="3BBE6F2E" w:rsidR="00C25497" w:rsidRPr="0062134F" w:rsidRDefault="00C25497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13BC172C" w14:textId="77777777" w:rsidR="00276A6A" w:rsidRPr="0062134F" w:rsidRDefault="00276A6A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5BC6D8D5" w14:textId="76B7995B" w:rsidR="00BF20C1" w:rsidRPr="0062134F" w:rsidRDefault="00000000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2. Análise da Inviabilidade Técnica ou de Acesso (Exclusão Digital)</w:t>
      </w:r>
    </w:p>
    <w:p w14:paraId="76794515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A escolha pela forma presencial se justifica pela necessidade de garantir a </w:t>
      </w:r>
      <w:r w:rsidRPr="0062134F">
        <w:rPr>
          <w:rStyle w:val="MdStrong"/>
          <w:rFonts w:ascii="Verdana" w:hAnsi="Verdana" w:cs="Arial"/>
          <w:sz w:val="20"/>
          <w:szCs w:val="20"/>
        </w:rPr>
        <w:t>ampla participação</w:t>
      </w:r>
      <w:r w:rsidRPr="0062134F">
        <w:rPr>
          <w:rFonts w:ascii="Verdana" w:hAnsi="Verdana" w:cs="Arial"/>
          <w:sz w:val="20"/>
          <w:szCs w:val="20"/>
        </w:rPr>
        <w:t xml:space="preserve"> dos fornecedores locais e regionais, que são os principais interessados e detentores da logística imediata para o fornecimento de GLP no município.</w:t>
      </w:r>
    </w:p>
    <w:p w14:paraId="255C3170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CE16470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Constata-se que muitos dos revendedores e distribuidores de gás de cozinha (GLP) que atuam em São Gabriel da Palha e cidades vizinhas, notadamente micro e pequenas empresas, possuem </w:t>
      </w:r>
      <w:r w:rsidRPr="0062134F">
        <w:rPr>
          <w:rStyle w:val="MdStrong"/>
          <w:rFonts w:ascii="Verdana" w:hAnsi="Verdana" w:cs="Arial"/>
          <w:sz w:val="20"/>
          <w:szCs w:val="20"/>
        </w:rPr>
        <w:t>carência tecnológica</w:t>
      </w:r>
      <w:r w:rsidRPr="0062134F">
        <w:rPr>
          <w:rFonts w:ascii="Verdana" w:hAnsi="Verdana" w:cs="Arial"/>
          <w:sz w:val="20"/>
          <w:szCs w:val="20"/>
        </w:rPr>
        <w:t xml:space="preserve"> ou dificuldades de acesso e manuseio de sistemas eletrônicos de licitação. A imposição da forma eletrônica, neste contexto, resultaria em uma </w:t>
      </w:r>
      <w:r w:rsidRPr="0062134F">
        <w:rPr>
          <w:rStyle w:val="MdStrong"/>
          <w:rFonts w:ascii="Verdana" w:hAnsi="Verdana" w:cs="Arial"/>
          <w:sz w:val="20"/>
          <w:szCs w:val="20"/>
        </w:rPr>
        <w:t>exclusão digital</w:t>
      </w:r>
      <w:r w:rsidRPr="0062134F">
        <w:rPr>
          <w:rFonts w:ascii="Verdana" w:hAnsi="Verdana" w:cs="Arial"/>
          <w:sz w:val="20"/>
          <w:szCs w:val="20"/>
        </w:rPr>
        <w:t xml:space="preserve"> que, em vez de ampliar, restringiria a competição efetiva.</w:t>
      </w:r>
    </w:p>
    <w:p w14:paraId="4DD6F2DB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0"/>
        <w:gridCol w:w="3796"/>
        <w:gridCol w:w="3150"/>
      </w:tblGrid>
      <w:tr w:rsidR="00C25497" w:rsidRPr="0062134F" w14:paraId="219AAAD6" w14:textId="77777777" w:rsidTr="00C25497">
        <w:trPr>
          <w:cantSplit/>
          <w:trHeight w:val="720"/>
          <w:tblHeader/>
        </w:trPr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2F910D" w14:textId="77777777" w:rsidR="00BF20C1" w:rsidRPr="0062134F" w:rsidRDefault="00000000" w:rsidP="00276A6A">
            <w:pPr>
              <w:pStyle w:val="MdTableHeader"/>
              <w:spacing w:before="0" w:after="0"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2134F">
              <w:rPr>
                <w:rFonts w:ascii="Verdana" w:hAnsi="Verdana" w:cs="Arial"/>
                <w:sz w:val="20"/>
                <w:szCs w:val="20"/>
              </w:rPr>
              <w:lastRenderedPageBreak/>
              <w:t>Fator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DC833B" w14:textId="77777777" w:rsidR="00BF20C1" w:rsidRPr="0062134F" w:rsidRDefault="00000000" w:rsidP="00276A6A">
            <w:pPr>
              <w:pStyle w:val="MdTableHeader"/>
              <w:spacing w:before="0" w:after="0"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2134F">
              <w:rPr>
                <w:rFonts w:ascii="Verdana" w:hAnsi="Verdana" w:cs="Arial"/>
                <w:sz w:val="20"/>
                <w:szCs w:val="20"/>
              </w:rPr>
              <w:t>Pregão Eletrônico (Risco)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A32A4D" w14:textId="77777777" w:rsidR="00BF20C1" w:rsidRPr="0062134F" w:rsidRDefault="00000000" w:rsidP="00276A6A">
            <w:pPr>
              <w:pStyle w:val="MdTableHeader"/>
              <w:spacing w:before="0" w:after="0"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2134F">
              <w:rPr>
                <w:rFonts w:ascii="Verdana" w:hAnsi="Verdana" w:cs="Arial"/>
                <w:sz w:val="20"/>
                <w:szCs w:val="20"/>
              </w:rPr>
              <w:t>Pregão Presencial (Vantagem)</w:t>
            </w:r>
          </w:p>
        </w:tc>
      </w:tr>
      <w:tr w:rsidR="00C25497" w:rsidRPr="0062134F" w14:paraId="2664BB3C" w14:textId="77777777" w:rsidTr="00C25497"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C493EF" w14:textId="77777777" w:rsidR="00C25497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Style w:val="MdStrong"/>
                <w:rFonts w:ascii="Verdana" w:hAnsi="Verdana" w:cs="Arial"/>
              </w:rPr>
            </w:pPr>
            <w:r w:rsidRPr="0062134F">
              <w:rPr>
                <w:rStyle w:val="MdStrong"/>
                <w:rFonts w:ascii="Verdana" w:hAnsi="Verdana" w:cs="Arial"/>
              </w:rPr>
              <w:t>Acesso à</w:t>
            </w:r>
          </w:p>
          <w:p w14:paraId="45988592" w14:textId="006C157D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Style w:val="MdStrong"/>
                <w:rFonts w:ascii="Verdana" w:hAnsi="Verdana" w:cs="Arial"/>
              </w:rPr>
              <w:t>Tecnologia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4903DD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Fonts w:ascii="Verdana" w:hAnsi="Verdana" w:cs="Arial"/>
              </w:rPr>
              <w:t>Exclusão de MPEs locais com baixa maturidade digital.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25F640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Fonts w:ascii="Verdana" w:hAnsi="Verdana" w:cs="Arial"/>
              </w:rPr>
              <w:t>Inclusão de todos os fornecedores, garantindo a competitividade local.</w:t>
            </w:r>
          </w:p>
        </w:tc>
      </w:tr>
      <w:tr w:rsidR="00C25497" w:rsidRPr="0062134F" w14:paraId="41D4BC28" w14:textId="77777777" w:rsidTr="00C25497"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6FB94E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Style w:val="MdStrong"/>
                <w:rFonts w:ascii="Verdana" w:hAnsi="Verdana" w:cs="Arial"/>
              </w:rPr>
              <w:t>Competitividade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2483E8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Fonts w:ascii="Verdana" w:hAnsi="Verdana" w:cs="Arial"/>
              </w:rPr>
              <w:t xml:space="preserve">Risco de participação restrita a grandes </w:t>
            </w:r>
            <w:r w:rsidRPr="0062134F">
              <w:rPr>
                <w:rStyle w:val="MdEm"/>
                <w:rFonts w:ascii="Verdana" w:hAnsi="Verdana" w:cs="Arial"/>
              </w:rPr>
              <w:t>players</w:t>
            </w:r>
            <w:r w:rsidRPr="0062134F">
              <w:rPr>
                <w:rFonts w:ascii="Verdana" w:hAnsi="Verdana" w:cs="Arial"/>
              </w:rPr>
              <w:t xml:space="preserve"> de fora da região.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E53952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Fonts w:ascii="Verdana" w:hAnsi="Verdana" w:cs="Arial"/>
              </w:rPr>
              <w:t>Maior probabilidade de participação e lances mais agressivos de fornecedores regionais.</w:t>
            </w:r>
          </w:p>
        </w:tc>
      </w:tr>
      <w:tr w:rsidR="00C25497" w:rsidRPr="0062134F" w14:paraId="282240EC" w14:textId="77777777" w:rsidTr="00C25497"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431B4E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Style w:val="MdStrong"/>
                <w:rFonts w:ascii="Verdana" w:hAnsi="Verdana" w:cs="Arial"/>
              </w:rPr>
              <w:t>Princípio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7B51D5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Fonts w:ascii="Verdana" w:hAnsi="Verdana" w:cs="Arial"/>
              </w:rPr>
              <w:t xml:space="preserve">Risco de afronta ao princípio do </w:t>
            </w:r>
            <w:r w:rsidRPr="0062134F">
              <w:rPr>
                <w:rStyle w:val="MdStrong"/>
                <w:rFonts w:ascii="Verdana" w:hAnsi="Verdana" w:cs="Arial"/>
              </w:rPr>
              <w:t>desenvolvimento nacional sustentável</w:t>
            </w:r>
            <w:r w:rsidRPr="0062134F">
              <w:rPr>
                <w:rFonts w:ascii="Verdana" w:hAnsi="Verdana" w:cs="Arial"/>
              </w:rPr>
              <w:t xml:space="preserve"> (Art. 5º, V), ao não fomentar a economia local.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FF31B2" w14:textId="77777777" w:rsidR="00BF20C1" w:rsidRPr="0062134F" w:rsidRDefault="00000000" w:rsidP="00276A6A">
            <w:pPr>
              <w:pStyle w:val="MdTableCell"/>
              <w:spacing w:before="0" w:after="0" w:line="276" w:lineRule="auto"/>
              <w:jc w:val="both"/>
              <w:rPr>
                <w:rFonts w:ascii="Verdana" w:hAnsi="Verdana" w:cs="Arial"/>
              </w:rPr>
            </w:pPr>
            <w:r w:rsidRPr="0062134F">
              <w:rPr>
                <w:rFonts w:ascii="Verdana" w:hAnsi="Verdana" w:cs="Arial"/>
              </w:rPr>
              <w:t xml:space="preserve">Observância do princípio da </w:t>
            </w:r>
            <w:r w:rsidRPr="0062134F">
              <w:rPr>
                <w:rStyle w:val="MdStrong"/>
                <w:rFonts w:ascii="Verdana" w:hAnsi="Verdana" w:cs="Arial"/>
              </w:rPr>
              <w:t>ampla competitividade</w:t>
            </w:r>
            <w:r w:rsidRPr="0062134F">
              <w:rPr>
                <w:rFonts w:ascii="Verdana" w:hAnsi="Verdana" w:cs="Arial"/>
              </w:rPr>
              <w:t xml:space="preserve"> e fomento à economia local.</w:t>
            </w:r>
          </w:p>
        </w:tc>
      </w:tr>
    </w:tbl>
    <w:p w14:paraId="6B9605C6" w14:textId="77777777" w:rsidR="00C25497" w:rsidRPr="0062134F" w:rsidRDefault="00C25497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45216D9C" w14:textId="4D8111D5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A adoção do Pregão Presencial, neste cenário, é uma medida que visa </w:t>
      </w:r>
      <w:r w:rsidRPr="0062134F">
        <w:rPr>
          <w:rStyle w:val="MdStrong"/>
          <w:rFonts w:ascii="Verdana" w:hAnsi="Verdana" w:cs="Arial"/>
          <w:sz w:val="20"/>
          <w:szCs w:val="20"/>
        </w:rPr>
        <w:t>maximizar a competição</w:t>
      </w:r>
      <w:r w:rsidRPr="0062134F">
        <w:rPr>
          <w:rFonts w:ascii="Verdana" w:hAnsi="Verdana" w:cs="Arial"/>
          <w:sz w:val="20"/>
          <w:szCs w:val="20"/>
        </w:rPr>
        <w:t xml:space="preserve"> e a obtenção do preço mais vantajoso, ao incluir os agentes econômicos que, embora tecnicamente aptos a fornecer o objeto, seriam inviabilizados pela barreira digital.</w:t>
      </w:r>
    </w:p>
    <w:p w14:paraId="2E76C547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D7AF2D6" w14:textId="77777777" w:rsidR="00BF20C1" w:rsidRPr="0062134F" w:rsidRDefault="00000000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3. Peculiaridades do Objeto e Logística (Troca de Vasilhames)</w:t>
      </w:r>
    </w:p>
    <w:p w14:paraId="10C2BE82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O objeto da contratação – fornecimento parcelado de GLP – possui </w:t>
      </w:r>
      <w:r w:rsidRPr="0062134F">
        <w:rPr>
          <w:rStyle w:val="MdStrong"/>
          <w:rFonts w:ascii="Verdana" w:hAnsi="Verdana" w:cs="Arial"/>
          <w:sz w:val="20"/>
          <w:szCs w:val="20"/>
        </w:rPr>
        <w:t>peculiaridades logísticas</w:t>
      </w:r>
      <w:r w:rsidRPr="0062134F">
        <w:rPr>
          <w:rFonts w:ascii="Verdana" w:hAnsi="Verdana" w:cs="Arial"/>
          <w:sz w:val="20"/>
          <w:szCs w:val="20"/>
        </w:rPr>
        <w:t xml:space="preserve"> que são mais bem geridas e negociadas em uma sessão pública presencial.</w:t>
      </w:r>
    </w:p>
    <w:p w14:paraId="1A132EA3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CF0D989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O fornecimento de gás de cozinha envolve, intrinsecamente, a </w:t>
      </w:r>
      <w:r w:rsidRPr="0062134F">
        <w:rPr>
          <w:rStyle w:val="MdStrong"/>
          <w:rFonts w:ascii="Verdana" w:hAnsi="Verdana" w:cs="Arial"/>
          <w:sz w:val="20"/>
          <w:szCs w:val="20"/>
        </w:rPr>
        <w:t>logística reversa e a troca de vasilhames</w:t>
      </w:r>
      <w:r w:rsidRPr="0062134F">
        <w:rPr>
          <w:rFonts w:ascii="Verdana" w:hAnsi="Verdana" w:cs="Arial"/>
          <w:sz w:val="20"/>
          <w:szCs w:val="20"/>
        </w:rPr>
        <w:t xml:space="preserve"> (botijões P13 e P45). A conformidade técnica, a validade e o estado de conservação dos botijões a serem permutados são pontos críticos que demandam clareza e, por vezes, negociação imediata.</w:t>
      </w:r>
    </w:p>
    <w:p w14:paraId="6ED6510E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EF082B1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A interação direta entre o Pregoeiro e os licitantes na sessão presencial permite:</w:t>
      </w:r>
    </w:p>
    <w:p w14:paraId="5BD29CD6" w14:textId="77777777" w:rsidR="00BF20C1" w:rsidRPr="0062134F" w:rsidRDefault="00000000" w:rsidP="00276A6A">
      <w:pPr>
        <w:pStyle w:val="MdListItem"/>
        <w:numPr>
          <w:ilvl w:val="0"/>
          <w:numId w:val="2"/>
        </w:numPr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Style w:val="MdStrong"/>
          <w:rFonts w:ascii="Verdana" w:hAnsi="Verdana" w:cs="Arial"/>
          <w:sz w:val="20"/>
          <w:szCs w:val="20"/>
        </w:rPr>
        <w:t>Sanar Dúvidas Imediatas</w:t>
      </w:r>
      <w:r w:rsidRPr="0062134F">
        <w:rPr>
          <w:rFonts w:ascii="Verdana" w:hAnsi="Verdana" w:cs="Arial"/>
          <w:sz w:val="20"/>
          <w:szCs w:val="20"/>
        </w:rPr>
        <w:t xml:space="preserve"> sobre a compatibilidade de marcas e a logística de permuta dos vasilhames nas diversas unidades administrativas.</w:t>
      </w:r>
    </w:p>
    <w:p w14:paraId="39D7A418" w14:textId="77777777" w:rsidR="00BF20C1" w:rsidRPr="0062134F" w:rsidRDefault="00000000" w:rsidP="00276A6A">
      <w:pPr>
        <w:pStyle w:val="MdListItem"/>
        <w:numPr>
          <w:ilvl w:val="0"/>
          <w:numId w:val="2"/>
        </w:numPr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Style w:val="MdStrong"/>
          <w:rFonts w:ascii="Verdana" w:hAnsi="Verdana" w:cs="Arial"/>
          <w:sz w:val="20"/>
          <w:szCs w:val="20"/>
        </w:rPr>
        <w:t>Ajustar Detalhes Logísticos</w:t>
      </w:r>
      <w:r w:rsidRPr="0062134F">
        <w:rPr>
          <w:rFonts w:ascii="Verdana" w:hAnsi="Verdana" w:cs="Arial"/>
          <w:sz w:val="20"/>
          <w:szCs w:val="20"/>
        </w:rPr>
        <w:t xml:space="preserve"> da entrega parcelada e da dispersão geográfica das unidades, o que pode impactar o preço final e a qualidade do serviço.</w:t>
      </w:r>
    </w:p>
    <w:p w14:paraId="20BF0B35" w14:textId="77777777" w:rsidR="00BF20C1" w:rsidRPr="0062134F" w:rsidRDefault="00000000" w:rsidP="00276A6A">
      <w:pPr>
        <w:pStyle w:val="MdListItem"/>
        <w:numPr>
          <w:ilvl w:val="0"/>
          <w:numId w:val="2"/>
        </w:numPr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Style w:val="MdStrong"/>
          <w:rFonts w:ascii="Verdana" w:hAnsi="Verdana" w:cs="Arial"/>
          <w:sz w:val="20"/>
          <w:szCs w:val="20"/>
        </w:rPr>
        <w:t>Avaliar a Capacidade Operacional</w:t>
      </w:r>
      <w:r w:rsidRPr="0062134F">
        <w:rPr>
          <w:rFonts w:ascii="Verdana" w:hAnsi="Verdana" w:cs="Arial"/>
          <w:sz w:val="20"/>
          <w:szCs w:val="20"/>
        </w:rPr>
        <w:t xml:space="preserve"> do licitante, que se manifesta de forma mais clara no ambiente presencial, especialmente em relação à sua estrutura de atendimento e estoque local.</w:t>
      </w:r>
    </w:p>
    <w:p w14:paraId="5C1DA59A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866EB5F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Em suma, a natureza do objeto e a necessidade de gerir a troca de vasilhames de forma eficiente e segura tornam a sessão presencial um ambiente mais propício para a </w:t>
      </w:r>
      <w:r w:rsidRPr="0062134F">
        <w:rPr>
          <w:rStyle w:val="MdStrong"/>
          <w:rFonts w:ascii="Verdana" w:hAnsi="Verdana" w:cs="Arial"/>
          <w:sz w:val="20"/>
          <w:szCs w:val="20"/>
        </w:rPr>
        <w:t>negociação e o alinhamento de expectativas contratuais</w:t>
      </w:r>
      <w:r w:rsidRPr="0062134F">
        <w:rPr>
          <w:rFonts w:ascii="Verdana" w:hAnsi="Verdana" w:cs="Arial"/>
          <w:sz w:val="20"/>
          <w:szCs w:val="20"/>
        </w:rPr>
        <w:t>, reduzindo o risco de falhas na execução do contrato (Art. 18, inciso IX, da Lei nº 14.133/2021).</w:t>
      </w:r>
    </w:p>
    <w:p w14:paraId="1F6080F8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4405B78" w14:textId="77777777" w:rsidR="00BF20C1" w:rsidRPr="0062134F" w:rsidRDefault="00000000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4. Celeridade Processual e Urgência</w:t>
      </w:r>
    </w:p>
    <w:p w14:paraId="4401FF55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Embora a celeridade não deva ser o único fator motivador, ela se soma aos demais argumentos em um contexto de </w:t>
      </w:r>
      <w:r w:rsidRPr="0062134F">
        <w:rPr>
          <w:rStyle w:val="MdStrong"/>
          <w:rFonts w:ascii="Verdana" w:hAnsi="Verdana" w:cs="Arial"/>
          <w:sz w:val="20"/>
          <w:szCs w:val="20"/>
        </w:rPr>
        <w:t>necessidade essencial e contínua</w:t>
      </w:r>
      <w:r w:rsidRPr="0062134F">
        <w:rPr>
          <w:rFonts w:ascii="Verdana" w:hAnsi="Verdana" w:cs="Arial"/>
          <w:sz w:val="20"/>
          <w:szCs w:val="20"/>
        </w:rPr>
        <w:t xml:space="preserve">. O GLP é insumo básico para o funcionamento de cozinhas e refeitórios em unidades administrativas, </w:t>
      </w:r>
      <w:r w:rsidRPr="0062134F">
        <w:rPr>
          <w:rFonts w:ascii="Verdana" w:hAnsi="Verdana" w:cs="Arial"/>
          <w:sz w:val="20"/>
          <w:szCs w:val="20"/>
        </w:rPr>
        <w:lastRenderedPageBreak/>
        <w:t xml:space="preserve">incluindo, potencialmente, a </w:t>
      </w:r>
      <w:r w:rsidRPr="0062134F">
        <w:rPr>
          <w:rStyle w:val="MdStrong"/>
          <w:rFonts w:ascii="Verdana" w:hAnsi="Verdana" w:cs="Arial"/>
          <w:sz w:val="20"/>
          <w:szCs w:val="20"/>
        </w:rPr>
        <w:t>alimentação escolar</w:t>
      </w:r>
      <w:r w:rsidRPr="0062134F">
        <w:rPr>
          <w:rFonts w:ascii="Verdana" w:hAnsi="Verdana" w:cs="Arial"/>
          <w:sz w:val="20"/>
          <w:szCs w:val="20"/>
        </w:rPr>
        <w:t>, cuja interrupção configura risco à saúde e à educação.</w:t>
      </w:r>
    </w:p>
    <w:p w14:paraId="1BAD3992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F8659C6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O rito do Pregão Presencial permite a conclusão de todas as fases (lances, julgamento, habilitação e intenção de recurso) em um </w:t>
      </w:r>
      <w:r w:rsidRPr="0062134F">
        <w:rPr>
          <w:rStyle w:val="MdStrong"/>
          <w:rFonts w:ascii="Verdana" w:hAnsi="Verdana" w:cs="Arial"/>
          <w:sz w:val="20"/>
          <w:szCs w:val="20"/>
        </w:rPr>
        <w:t>único ato contínuo</w:t>
      </w:r>
      <w:r w:rsidRPr="0062134F">
        <w:rPr>
          <w:rFonts w:ascii="Verdana" w:hAnsi="Verdana" w:cs="Arial"/>
          <w:sz w:val="20"/>
          <w:szCs w:val="20"/>
        </w:rPr>
        <w:t xml:space="preserve">. Isso elimina os prazos de espera inerentes aos sistemas eletrônicos (como o prazo de 24 horas para manifestação de intenção de recurso), conferindo maior </w:t>
      </w:r>
      <w:r w:rsidRPr="0062134F">
        <w:rPr>
          <w:rStyle w:val="MdStrong"/>
          <w:rFonts w:ascii="Verdana" w:hAnsi="Verdana" w:cs="Arial"/>
          <w:sz w:val="20"/>
          <w:szCs w:val="20"/>
        </w:rPr>
        <w:t>celeridade processual</w:t>
      </w:r>
      <w:r w:rsidRPr="0062134F">
        <w:rPr>
          <w:rFonts w:ascii="Verdana" w:hAnsi="Verdana" w:cs="Arial"/>
          <w:sz w:val="20"/>
          <w:szCs w:val="20"/>
        </w:rPr>
        <w:t xml:space="preserve"> e garantindo o abastecimento em tempo hábil.</w:t>
      </w:r>
    </w:p>
    <w:p w14:paraId="402EE290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1B67BC9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A urgência em evitar o desabastecimento de um item essencial justifica a busca pelo rito que oferece a maior rapidez na contratação, em consonância com o </w:t>
      </w:r>
      <w:r w:rsidRPr="0062134F">
        <w:rPr>
          <w:rStyle w:val="MdStrong"/>
          <w:rFonts w:ascii="Verdana" w:hAnsi="Verdana" w:cs="Arial"/>
          <w:sz w:val="20"/>
          <w:szCs w:val="20"/>
        </w:rPr>
        <w:t>Princípio da Eficiência</w:t>
      </w:r>
      <w:r w:rsidRPr="0062134F">
        <w:rPr>
          <w:rFonts w:ascii="Verdana" w:hAnsi="Verdana" w:cs="Arial"/>
          <w:sz w:val="20"/>
          <w:szCs w:val="20"/>
        </w:rPr>
        <w:t xml:space="preserve"> (Art. 5º da Lei nº 14.133/2021).</w:t>
      </w:r>
    </w:p>
    <w:p w14:paraId="30B7C72E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560FE8A" w14:textId="77777777" w:rsidR="00BF20C1" w:rsidRPr="0062134F" w:rsidRDefault="00000000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5. Garantia de Isonomia, Vantajosidade e Transparência</w:t>
      </w:r>
    </w:p>
    <w:p w14:paraId="4511AAE8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A opção pelo Pregão Presencial, devidamente motivada, não implica em prejuízo aos princípios constitucionais e legais que regem a licitação. Pelo contrário, a Administração Municipal de São Gabriel da Palha garantirá:</w:t>
      </w:r>
    </w:p>
    <w:p w14:paraId="51D657A7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6ED858D" w14:textId="77777777" w:rsidR="00BF20C1" w:rsidRPr="0062134F" w:rsidRDefault="00000000" w:rsidP="00276A6A">
      <w:pPr>
        <w:pStyle w:val="MdListItem"/>
        <w:numPr>
          <w:ilvl w:val="0"/>
          <w:numId w:val="2"/>
        </w:numPr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Style w:val="MdStrong"/>
          <w:rFonts w:ascii="Verdana" w:hAnsi="Verdana" w:cs="Arial"/>
          <w:sz w:val="20"/>
          <w:szCs w:val="20"/>
        </w:rPr>
        <w:t>Isonomia:</w:t>
      </w:r>
      <w:r w:rsidRPr="0062134F">
        <w:rPr>
          <w:rFonts w:ascii="Verdana" w:hAnsi="Verdana" w:cs="Arial"/>
          <w:sz w:val="20"/>
          <w:szCs w:val="20"/>
        </w:rPr>
        <w:t xml:space="preserve"> O edital será amplamente divulgado, garantindo que todos os interessados tenham acesso às regras e possam participar em igualdade de condições.</w:t>
      </w:r>
    </w:p>
    <w:p w14:paraId="01292A93" w14:textId="77777777" w:rsidR="00BF20C1" w:rsidRPr="0062134F" w:rsidRDefault="00000000" w:rsidP="00276A6A">
      <w:pPr>
        <w:pStyle w:val="MdListItem"/>
        <w:numPr>
          <w:ilvl w:val="0"/>
          <w:numId w:val="2"/>
        </w:numPr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Style w:val="MdStrong"/>
          <w:rFonts w:ascii="Verdana" w:hAnsi="Verdana" w:cs="Arial"/>
          <w:sz w:val="20"/>
          <w:szCs w:val="20"/>
        </w:rPr>
        <w:t>Vantajosidade:</w:t>
      </w:r>
      <w:r w:rsidRPr="0062134F">
        <w:rPr>
          <w:rFonts w:ascii="Verdana" w:hAnsi="Verdana" w:cs="Arial"/>
          <w:sz w:val="20"/>
          <w:szCs w:val="20"/>
        </w:rPr>
        <w:t xml:space="preserve"> A disputa presencial, com lances verbais e negociação direta, é um mecanismo altamente eficaz para a obtenção do </w:t>
      </w:r>
      <w:r w:rsidRPr="0062134F">
        <w:rPr>
          <w:rStyle w:val="MdStrong"/>
          <w:rFonts w:ascii="Verdana" w:hAnsi="Verdana" w:cs="Arial"/>
          <w:sz w:val="20"/>
          <w:szCs w:val="20"/>
        </w:rPr>
        <w:t>menor preço</w:t>
      </w:r>
      <w:r w:rsidRPr="0062134F">
        <w:rPr>
          <w:rFonts w:ascii="Verdana" w:hAnsi="Verdana" w:cs="Arial"/>
          <w:sz w:val="20"/>
          <w:szCs w:val="20"/>
        </w:rPr>
        <w:t>, especialmente em mercados regionais onde os custos logísticos são bem conhecidos pelos concorrentes.</w:t>
      </w:r>
    </w:p>
    <w:p w14:paraId="2352ED4C" w14:textId="77777777" w:rsidR="00BF20C1" w:rsidRPr="0062134F" w:rsidRDefault="00000000" w:rsidP="00276A6A">
      <w:pPr>
        <w:pStyle w:val="MdListItem"/>
        <w:numPr>
          <w:ilvl w:val="0"/>
          <w:numId w:val="2"/>
        </w:numPr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Style w:val="MdStrong"/>
          <w:rFonts w:ascii="Verdana" w:hAnsi="Verdana" w:cs="Arial"/>
          <w:sz w:val="20"/>
          <w:szCs w:val="20"/>
        </w:rPr>
        <w:t>Transparência:</w:t>
      </w:r>
      <w:r w:rsidRPr="0062134F">
        <w:rPr>
          <w:rFonts w:ascii="Verdana" w:hAnsi="Verdana" w:cs="Arial"/>
          <w:sz w:val="20"/>
          <w:szCs w:val="20"/>
        </w:rPr>
        <w:t xml:space="preserve"> Conforme exigido pelo Art. 17, § 2º da Lei nº 14.133/2021, a sessão pública será integralmente </w:t>
      </w:r>
      <w:r w:rsidRPr="0062134F">
        <w:rPr>
          <w:rStyle w:val="MdStrong"/>
          <w:rFonts w:ascii="Verdana" w:hAnsi="Verdana" w:cs="Arial"/>
          <w:sz w:val="20"/>
          <w:szCs w:val="20"/>
        </w:rPr>
        <w:t>registrada em ata e gravada em áudio e vídeo</w:t>
      </w:r>
      <w:r w:rsidRPr="0062134F">
        <w:rPr>
          <w:rFonts w:ascii="Verdana" w:hAnsi="Verdana" w:cs="Arial"/>
          <w:sz w:val="20"/>
          <w:szCs w:val="20"/>
        </w:rPr>
        <w:t>. Essa gravação constitui um registro fidedigno e inquestionável de todo o procedimento, conferindo um nível de transparência que, em muitos aspectos, supera o registro meramente textual dos sistemas eletrônicos.</w:t>
      </w:r>
    </w:p>
    <w:p w14:paraId="3F663050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E5838C7" w14:textId="0CFF3FAA" w:rsidR="00BF20C1" w:rsidRPr="0062134F" w:rsidRDefault="00000000" w:rsidP="00276A6A">
      <w:pPr>
        <w:pStyle w:val="MdHeading3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>6. Conclusão</w:t>
      </w:r>
    </w:p>
    <w:p w14:paraId="29870602" w14:textId="77777777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Diante do exposto, a adoção do Pregão, na forma Presencial, para a contratação do fornecimento de GLP, encontra-se </w:t>
      </w:r>
      <w:r w:rsidRPr="0062134F">
        <w:rPr>
          <w:rStyle w:val="MdStrong"/>
          <w:rFonts w:ascii="Verdana" w:hAnsi="Verdana" w:cs="Arial"/>
          <w:sz w:val="20"/>
          <w:szCs w:val="20"/>
        </w:rPr>
        <w:t>plenamente justificada</w:t>
      </w:r>
      <w:r w:rsidRPr="0062134F">
        <w:rPr>
          <w:rFonts w:ascii="Verdana" w:hAnsi="Verdana" w:cs="Arial"/>
          <w:sz w:val="20"/>
          <w:szCs w:val="20"/>
        </w:rPr>
        <w:t xml:space="preserve"> e amparada na Lei Federal nº 14.133/2021, especificamente no Art. 17, § 2º.</w:t>
      </w:r>
    </w:p>
    <w:p w14:paraId="3BFE3ACA" w14:textId="7777777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92D767D" w14:textId="77777777" w:rsidR="00276A6A" w:rsidRPr="0062134F" w:rsidRDefault="00276A6A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23223CD6" w14:textId="31223A90" w:rsidR="00BF20C1" w:rsidRPr="0062134F" w:rsidRDefault="00000000" w:rsidP="00276A6A">
      <w:pPr>
        <w:pStyle w:val="MdParagraph"/>
        <w:spacing w:before="0" w:after="0" w:line="276" w:lineRule="auto"/>
        <w:jc w:val="both"/>
        <w:rPr>
          <w:rFonts w:ascii="Verdana" w:hAnsi="Verdana" w:cs="Arial"/>
          <w:sz w:val="20"/>
          <w:szCs w:val="20"/>
        </w:rPr>
      </w:pPr>
      <w:r w:rsidRPr="0062134F">
        <w:rPr>
          <w:rFonts w:ascii="Verdana" w:hAnsi="Verdana" w:cs="Arial"/>
          <w:sz w:val="20"/>
          <w:szCs w:val="20"/>
        </w:rPr>
        <w:t xml:space="preserve">A escolha é motivada pela conjugação de fatores técnicos, logísticos e socioeconômicos, visando a </w:t>
      </w:r>
      <w:r w:rsidRPr="0062134F">
        <w:rPr>
          <w:rStyle w:val="MdStrong"/>
          <w:rFonts w:ascii="Verdana" w:hAnsi="Verdana" w:cs="Arial"/>
          <w:sz w:val="20"/>
          <w:szCs w:val="20"/>
        </w:rPr>
        <w:t>máxima competitividade</w:t>
      </w:r>
      <w:r w:rsidRPr="0062134F">
        <w:rPr>
          <w:rFonts w:ascii="Verdana" w:hAnsi="Verdana" w:cs="Arial"/>
          <w:sz w:val="20"/>
          <w:szCs w:val="20"/>
        </w:rPr>
        <w:t xml:space="preserve"> (inclusão de fornecedores locais), a </w:t>
      </w:r>
      <w:r w:rsidRPr="0062134F">
        <w:rPr>
          <w:rStyle w:val="MdStrong"/>
          <w:rFonts w:ascii="Verdana" w:hAnsi="Verdana" w:cs="Arial"/>
          <w:sz w:val="20"/>
          <w:szCs w:val="20"/>
        </w:rPr>
        <w:t>melhor gestão do objeto</w:t>
      </w:r>
      <w:r w:rsidRPr="0062134F">
        <w:rPr>
          <w:rFonts w:ascii="Verdana" w:hAnsi="Verdana" w:cs="Arial"/>
          <w:sz w:val="20"/>
          <w:szCs w:val="20"/>
        </w:rPr>
        <w:t xml:space="preserve"> (peculiaridades da troca de vasilhames) e a </w:t>
      </w:r>
      <w:r w:rsidRPr="0062134F">
        <w:rPr>
          <w:rStyle w:val="MdStrong"/>
          <w:rFonts w:ascii="Verdana" w:hAnsi="Verdana" w:cs="Arial"/>
          <w:sz w:val="20"/>
          <w:szCs w:val="20"/>
        </w:rPr>
        <w:t>celeridade</w:t>
      </w:r>
      <w:r w:rsidRPr="0062134F">
        <w:rPr>
          <w:rFonts w:ascii="Verdana" w:hAnsi="Verdana" w:cs="Arial"/>
          <w:sz w:val="20"/>
          <w:szCs w:val="20"/>
        </w:rPr>
        <w:t xml:space="preserve"> na garantia de um insumo essencial. A transparência e a legalidade do ato estão asseguradas pelo registro integral da sessão em áudio e vídeo, garantindo a seleção da proposta mais vantajosa para a Administração Pública Municipal.</w:t>
      </w:r>
    </w:p>
    <w:p w14:paraId="7384B555" w14:textId="4A0C19C7" w:rsidR="00BF20C1" w:rsidRPr="0062134F" w:rsidRDefault="00BF20C1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D45CB2C" w14:textId="099035B3" w:rsidR="00C25497" w:rsidRPr="0062134F" w:rsidRDefault="00C25497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C68B7EA" w14:textId="58648C6F" w:rsidR="00C25497" w:rsidRPr="0062134F" w:rsidRDefault="00C25497" w:rsidP="00276A6A">
      <w:pPr>
        <w:pStyle w:val="MdSpace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0B0FA760" w14:textId="11B65E8E" w:rsidR="00C25497" w:rsidRPr="0062134F" w:rsidRDefault="00C25497" w:rsidP="00276A6A">
      <w:pPr>
        <w:widowControl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62134F">
        <w:rPr>
          <w:rFonts w:ascii="Verdana" w:hAnsi="Verdana" w:cs="Arial"/>
          <w:b/>
          <w:bCs/>
          <w:color w:val="000000"/>
          <w:sz w:val="20"/>
          <w:szCs w:val="20"/>
        </w:rPr>
        <w:t>FRANCIELI DA ROCHA AVILA</w:t>
      </w:r>
    </w:p>
    <w:p w14:paraId="246C650E" w14:textId="7294C252" w:rsidR="00C25497" w:rsidRPr="0062134F" w:rsidRDefault="00C25497" w:rsidP="00276A6A">
      <w:pPr>
        <w:pStyle w:val="MdSpace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62134F">
        <w:rPr>
          <w:rFonts w:ascii="Verdana" w:eastAsia="Arial" w:hAnsi="Verdana" w:cs="Arial"/>
          <w:b/>
          <w:bCs/>
          <w:sz w:val="20"/>
          <w:szCs w:val="20"/>
        </w:rPr>
        <w:t>Secretária Municipal de Administração</w:t>
      </w:r>
    </w:p>
    <w:sectPr w:rsidR="00C25497" w:rsidRPr="0062134F" w:rsidSect="00C25497">
      <w:headerReference w:type="default" r:id="rId7"/>
      <w:footerReference w:type="default" r:id="rId8"/>
      <w:pgSz w:w="11906" w:h="16838"/>
      <w:pgMar w:top="1440" w:right="1440" w:bottom="1440" w:left="1440" w:header="708" w:footer="4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98A0F" w14:textId="77777777" w:rsidR="00AD2FFC" w:rsidRDefault="00AD2FFC" w:rsidP="00C25497">
      <w:r>
        <w:separator/>
      </w:r>
    </w:p>
  </w:endnote>
  <w:endnote w:type="continuationSeparator" w:id="0">
    <w:p w14:paraId="114129EC" w14:textId="77777777" w:rsidR="00AD2FFC" w:rsidRDefault="00AD2FFC" w:rsidP="00C2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B2A39" w14:textId="77777777" w:rsidR="00C25497" w:rsidRDefault="00C25497" w:rsidP="00C25497">
    <w:pPr>
      <w:pStyle w:val="Cabealho"/>
      <w:jc w:val="center"/>
      <w:rPr>
        <w:sz w:val="16"/>
        <w:szCs w:val="16"/>
      </w:rPr>
    </w:pPr>
    <w:r>
      <w:rPr>
        <w:rFonts w:ascii="Verdana" w:hAnsi="Verdana" w:cs="Calibri"/>
        <w:b/>
        <w:bCs/>
        <w:sz w:val="16"/>
        <w:szCs w:val="16"/>
      </w:rPr>
      <w:t>Praça Vicente Glazar nº 159, Centro, São Gabriel da Palha, ES. CEP. 29.780-000.</w:t>
    </w:r>
  </w:p>
  <w:p w14:paraId="3FAE4A58" w14:textId="575FBF59" w:rsidR="00C25497" w:rsidRPr="00C25497" w:rsidRDefault="00C25497" w:rsidP="00C25497">
    <w:pPr>
      <w:pStyle w:val="Rodap"/>
      <w:jc w:val="center"/>
      <w:rPr>
        <w:u w:val="single"/>
      </w:rPr>
    </w:pPr>
    <w:r>
      <w:rPr>
        <w:rFonts w:ascii="Verdana" w:hAnsi="Verdana"/>
        <w:b/>
        <w:bCs/>
        <w:sz w:val="16"/>
        <w:szCs w:val="16"/>
      </w:rPr>
      <w:t>Telefax 0(xx) 27 3727-1366.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23FEE" w14:textId="77777777" w:rsidR="00AD2FFC" w:rsidRDefault="00AD2FFC" w:rsidP="00C25497">
      <w:r>
        <w:separator/>
      </w:r>
    </w:p>
  </w:footnote>
  <w:footnote w:type="continuationSeparator" w:id="0">
    <w:p w14:paraId="4F772E38" w14:textId="77777777" w:rsidR="00AD2FFC" w:rsidRDefault="00AD2FFC" w:rsidP="00C25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3C1D9" w14:textId="77777777" w:rsidR="00C25497" w:rsidRDefault="00C25497" w:rsidP="00C25497">
    <w:pPr>
      <w:jc w:val="center"/>
    </w:pPr>
    <w:r>
      <w:rPr>
        <w:noProof/>
      </w:rPr>
      <w:drawing>
        <wp:anchor distT="0" distB="0" distL="114935" distR="114935" simplePos="0" relativeHeight="251659264" behindDoc="1" locked="0" layoutInCell="0" allowOverlap="1" wp14:anchorId="46A08CFB" wp14:editId="098D7C52">
          <wp:simplePos x="0" y="0"/>
          <wp:positionH relativeFrom="column">
            <wp:posOffset>-26670</wp:posOffset>
          </wp:positionH>
          <wp:positionV relativeFrom="paragraph">
            <wp:posOffset>-38100</wp:posOffset>
          </wp:positionV>
          <wp:extent cx="618490" cy="513715"/>
          <wp:effectExtent l="0" t="0" r="0" b="635"/>
          <wp:wrapSquare wrapText="bothSides"/>
          <wp:docPr id="3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05" t="-1898" r="-1705" b="-1898"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513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 w:val="26"/>
        <w:szCs w:val="26"/>
      </w:rPr>
      <w:t>PREFEITURA MUNICIPAL DE SÃO GABRIEL DA PALHA</w:t>
    </w:r>
    <w:r>
      <w:rPr>
        <w:rFonts w:ascii="Verdana" w:hAnsi="Verdana" w:cs="Verdana"/>
        <w:b/>
        <w:bCs/>
        <w:sz w:val="26"/>
        <w:szCs w:val="26"/>
      </w:rPr>
      <w:br/>
    </w:r>
    <w:r>
      <w:rPr>
        <w:rFonts w:ascii="Calibri" w:hAnsi="Calibri" w:cs="Calibri"/>
        <w:sz w:val="16"/>
        <w:szCs w:val="16"/>
      </w:rPr>
      <w:t>ESTADO DO ESPÍRITO SANTO</w:t>
    </w:r>
    <w:r>
      <w:rPr>
        <w:rFonts w:ascii="Verdana" w:hAnsi="Verdana" w:cs="Verdana"/>
        <w:b/>
        <w:sz w:val="22"/>
        <w:szCs w:val="22"/>
      </w:rPr>
      <w:t xml:space="preserve"> </w:t>
    </w:r>
    <w:r>
      <w:rPr>
        <w:rFonts w:ascii="Verdana" w:hAnsi="Verdana" w:cs="Verdana"/>
        <w:b/>
        <w:sz w:val="22"/>
        <w:szCs w:val="22"/>
      </w:rPr>
      <w:br/>
    </w:r>
    <w:r>
      <w:rPr>
        <w:rFonts w:ascii="Calibri" w:hAnsi="Calibri" w:cs="Arial Narrow"/>
        <w:b/>
        <w:sz w:val="20"/>
        <w:szCs w:val="20"/>
      </w:rPr>
      <w:t>Secretaria Municipal Administração</w:t>
    </w:r>
  </w:p>
  <w:p w14:paraId="2E2DAE9D" w14:textId="77777777" w:rsidR="00C25497" w:rsidRDefault="00C2549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A7DF5"/>
    <w:multiLevelType w:val="multilevel"/>
    <w:tmpl w:val="9058E34E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1" w15:restartNumberingAfterBreak="0">
    <w:nsid w:val="3B3761FB"/>
    <w:multiLevelType w:val="hybridMultilevel"/>
    <w:tmpl w:val="6C687382"/>
    <w:lvl w:ilvl="0" w:tplc="A37C7B64">
      <w:start w:val="1"/>
      <w:numFmt w:val="bullet"/>
      <w:lvlText w:val="●"/>
      <w:lvlJc w:val="left"/>
      <w:pPr>
        <w:ind w:left="720" w:hanging="360"/>
      </w:pPr>
    </w:lvl>
    <w:lvl w:ilvl="1" w:tplc="49F0DBC0">
      <w:start w:val="1"/>
      <w:numFmt w:val="bullet"/>
      <w:lvlText w:val="○"/>
      <w:lvlJc w:val="left"/>
      <w:pPr>
        <w:ind w:left="1440" w:hanging="360"/>
      </w:pPr>
    </w:lvl>
    <w:lvl w:ilvl="2" w:tplc="0AA49C16">
      <w:start w:val="1"/>
      <w:numFmt w:val="bullet"/>
      <w:lvlText w:val="■"/>
      <w:lvlJc w:val="left"/>
      <w:pPr>
        <w:ind w:left="2160" w:hanging="360"/>
      </w:pPr>
    </w:lvl>
    <w:lvl w:ilvl="3" w:tplc="6AF806BE">
      <w:start w:val="1"/>
      <w:numFmt w:val="bullet"/>
      <w:lvlText w:val="●"/>
      <w:lvlJc w:val="left"/>
      <w:pPr>
        <w:ind w:left="2880" w:hanging="360"/>
      </w:pPr>
    </w:lvl>
    <w:lvl w:ilvl="4" w:tplc="26C84974">
      <w:start w:val="1"/>
      <w:numFmt w:val="bullet"/>
      <w:lvlText w:val="○"/>
      <w:lvlJc w:val="left"/>
      <w:pPr>
        <w:ind w:left="3600" w:hanging="360"/>
      </w:pPr>
    </w:lvl>
    <w:lvl w:ilvl="5" w:tplc="6FFECBA4">
      <w:start w:val="1"/>
      <w:numFmt w:val="bullet"/>
      <w:lvlText w:val="■"/>
      <w:lvlJc w:val="left"/>
      <w:pPr>
        <w:ind w:left="4320" w:hanging="360"/>
      </w:pPr>
    </w:lvl>
    <w:lvl w:ilvl="6" w:tplc="F15E226E">
      <w:start w:val="1"/>
      <w:numFmt w:val="bullet"/>
      <w:lvlText w:val="●"/>
      <w:lvlJc w:val="left"/>
      <w:pPr>
        <w:ind w:left="5040" w:hanging="360"/>
      </w:pPr>
    </w:lvl>
    <w:lvl w:ilvl="7" w:tplc="591C0898">
      <w:start w:val="1"/>
      <w:numFmt w:val="bullet"/>
      <w:lvlText w:val="●"/>
      <w:lvlJc w:val="left"/>
      <w:pPr>
        <w:ind w:left="5760" w:hanging="360"/>
      </w:pPr>
    </w:lvl>
    <w:lvl w:ilvl="8" w:tplc="F106282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32F0B14"/>
    <w:multiLevelType w:val="hybridMultilevel"/>
    <w:tmpl w:val="544A363E"/>
    <w:lvl w:ilvl="0" w:tplc="74B6CA7C">
      <w:start w:val="1"/>
      <w:numFmt w:val="bullet"/>
      <w:lvlText w:val="•"/>
      <w:lvlJc w:val="left"/>
      <w:pPr>
        <w:ind w:left="720" w:hanging="360"/>
      </w:pPr>
    </w:lvl>
    <w:lvl w:ilvl="1" w:tplc="7D48D69C">
      <w:start w:val="1"/>
      <w:numFmt w:val="bullet"/>
      <w:lvlText w:val="◦"/>
      <w:lvlJc w:val="left"/>
      <w:pPr>
        <w:ind w:left="1440" w:hanging="360"/>
      </w:pPr>
    </w:lvl>
    <w:lvl w:ilvl="2" w:tplc="C760460C">
      <w:start w:val="1"/>
      <w:numFmt w:val="bullet"/>
      <w:lvlText w:val="•"/>
      <w:lvlJc w:val="left"/>
      <w:pPr>
        <w:ind w:left="2160" w:hanging="360"/>
      </w:pPr>
    </w:lvl>
    <w:lvl w:ilvl="3" w:tplc="8FAE885C">
      <w:start w:val="1"/>
      <w:numFmt w:val="bullet"/>
      <w:lvlText w:val="◦"/>
      <w:lvlJc w:val="left"/>
      <w:pPr>
        <w:ind w:left="2880" w:hanging="360"/>
      </w:pPr>
    </w:lvl>
    <w:lvl w:ilvl="4" w:tplc="B0623FFC">
      <w:start w:val="1"/>
      <w:numFmt w:val="bullet"/>
      <w:lvlText w:val="•"/>
      <w:lvlJc w:val="left"/>
      <w:pPr>
        <w:ind w:left="3600" w:hanging="360"/>
      </w:pPr>
    </w:lvl>
    <w:lvl w:ilvl="5" w:tplc="004CB624">
      <w:start w:val="1"/>
      <w:numFmt w:val="bullet"/>
      <w:lvlText w:val="◦"/>
      <w:lvlJc w:val="left"/>
      <w:pPr>
        <w:ind w:left="4320" w:hanging="360"/>
      </w:pPr>
    </w:lvl>
    <w:lvl w:ilvl="6" w:tplc="FCCE361E">
      <w:start w:val="1"/>
      <w:numFmt w:val="bullet"/>
      <w:lvlText w:val="•"/>
      <w:lvlJc w:val="left"/>
      <w:pPr>
        <w:ind w:left="5040" w:hanging="360"/>
      </w:pPr>
    </w:lvl>
    <w:lvl w:ilvl="7" w:tplc="7742C1C6">
      <w:numFmt w:val="decimal"/>
      <w:lvlText w:val=""/>
      <w:lvlJc w:val="left"/>
    </w:lvl>
    <w:lvl w:ilvl="8" w:tplc="3E328A5C">
      <w:numFmt w:val="decimal"/>
      <w:lvlText w:val=""/>
      <w:lvlJc w:val="left"/>
    </w:lvl>
  </w:abstractNum>
  <w:num w:numId="1" w16cid:durableId="1224369894">
    <w:abstractNumId w:val="1"/>
    <w:lvlOverride w:ilvl="0">
      <w:startOverride w:val="1"/>
    </w:lvlOverride>
  </w:num>
  <w:num w:numId="2" w16cid:durableId="179837517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0C1"/>
    <w:rsid w:val="00276A6A"/>
    <w:rsid w:val="005F2A8F"/>
    <w:rsid w:val="005F2C1A"/>
    <w:rsid w:val="0062134F"/>
    <w:rsid w:val="00AD2FFC"/>
    <w:rsid w:val="00BF20C1"/>
    <w:rsid w:val="00C2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1E56C"/>
  <w15:docId w15:val="{E5EF9F98-72A1-4D39-BF25-64B9657A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unhideWhenUsed/>
    <w:qFormat/>
    <w:pPr>
      <w:outlineLvl w:val="2"/>
    </w:pPr>
    <w:rPr>
      <w:color w:val="1F4D78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 w:color="0563C1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paragraph" w:customStyle="1" w:styleId="MdSpace">
    <w:name w:val="MdSpace"/>
    <w:qFormat/>
    <w:rPr>
      <w:sz w:val="12"/>
      <w:szCs w:val="12"/>
    </w:rPr>
  </w:style>
  <w:style w:type="paragraph" w:customStyle="1" w:styleId="MdCode">
    <w:name w:val="MdCode"/>
    <w:qFormat/>
    <w:pPr>
      <w:pBdr>
        <w:top w:val="single" w:sz="1" w:space="8" w:color="A5A5A5"/>
        <w:left w:val="single" w:sz="1" w:space="8" w:color="A5A5A5"/>
        <w:bottom w:val="single" w:sz="1" w:space="8" w:color="A5A5A5"/>
        <w:right w:val="single" w:sz="1" w:space="8" w:color="A5A5A5"/>
      </w:pBdr>
      <w:spacing w:before="200" w:after="200"/>
    </w:pPr>
    <w:rPr>
      <w:rFonts w:ascii="Courier New" w:eastAsia="Courier New" w:hAnsi="Courier New" w:cs="Courier New"/>
      <w:color w:val="70AD47"/>
      <w:sz w:val="22"/>
      <w:szCs w:val="22"/>
    </w:rPr>
  </w:style>
  <w:style w:type="paragraph" w:customStyle="1" w:styleId="MdHr">
    <w:name w:val="MdHr"/>
    <w:qFormat/>
    <w:pPr>
      <w:pBdr>
        <w:bottom w:val="single" w:sz="1" w:space="1" w:color="A5A5A5"/>
      </w:pBdr>
      <w:spacing w:before="240" w:after="240"/>
    </w:pPr>
  </w:style>
  <w:style w:type="paragraph" w:customStyle="1" w:styleId="MdBlockquote">
    <w:name w:val="MdBlockquote"/>
    <w:qFormat/>
    <w:pPr>
      <w:pBdr>
        <w:left w:val="single" w:sz="20" w:space="12" w:color="A5A5A5"/>
      </w:pBdr>
      <w:spacing w:before="200" w:after="200"/>
      <w:ind w:left="360"/>
    </w:pPr>
    <w:rPr>
      <w:i/>
      <w:iCs/>
      <w:color w:val="666666"/>
    </w:rPr>
  </w:style>
  <w:style w:type="paragraph" w:customStyle="1" w:styleId="MdHtml">
    <w:name w:val="MdHtml"/>
    <w:qFormat/>
    <w:rPr>
      <w:rFonts w:ascii="Courier New" w:eastAsia="Courier New" w:hAnsi="Courier New" w:cs="Courier New"/>
      <w:color w:val="ED7D31"/>
    </w:rPr>
  </w:style>
  <w:style w:type="paragraph" w:customStyle="1" w:styleId="MdDef">
    <w:name w:val="MdDef"/>
    <w:qFormat/>
    <w:pPr>
      <w:ind w:left="720" w:hanging="360"/>
    </w:pPr>
  </w:style>
  <w:style w:type="paragraph" w:customStyle="1" w:styleId="MdParagraph">
    <w:name w:val="MdParagraph"/>
    <w:qFormat/>
    <w:pPr>
      <w:spacing w:before="120" w:after="120"/>
    </w:pPr>
  </w:style>
  <w:style w:type="paragraph" w:customStyle="1" w:styleId="MdText">
    <w:name w:val="MdText"/>
    <w:qFormat/>
  </w:style>
  <w:style w:type="paragraph" w:customStyle="1" w:styleId="MdFootnote">
    <w:name w:val="MdFootnote"/>
    <w:qFormat/>
    <w:rPr>
      <w:vertAlign w:val="superscript"/>
    </w:rPr>
  </w:style>
  <w:style w:type="paragraph" w:customStyle="1" w:styleId="MdListItem">
    <w:name w:val="MdListItem"/>
    <w:qFormat/>
    <w:pPr>
      <w:spacing w:before="60" w:after="60"/>
      <w:ind w:left="720" w:hanging="360"/>
    </w:pPr>
  </w:style>
  <w:style w:type="paragraph" w:customStyle="1" w:styleId="MdTable">
    <w:name w:val="MdTable"/>
    <w:qFormat/>
    <w:pPr>
      <w:spacing w:before="60" w:after="60"/>
    </w:pPr>
  </w:style>
  <w:style w:type="paragraph" w:customStyle="1" w:styleId="MdTableHeader">
    <w:name w:val="MdTableHeader"/>
    <w:qFormat/>
    <w:pPr>
      <w:spacing w:before="60" w:after="60"/>
    </w:pPr>
    <w:rPr>
      <w:b/>
      <w:bCs/>
      <w:sz w:val="22"/>
      <w:szCs w:val="22"/>
    </w:rPr>
  </w:style>
  <w:style w:type="paragraph" w:customStyle="1" w:styleId="MdTableCell">
    <w:name w:val="MdTableCell"/>
    <w:qFormat/>
    <w:pPr>
      <w:spacing w:before="40" w:after="40"/>
    </w:pPr>
    <w:rPr>
      <w:sz w:val="20"/>
      <w:szCs w:val="20"/>
    </w:rPr>
  </w:style>
  <w:style w:type="paragraph" w:customStyle="1" w:styleId="MdHeading1">
    <w:name w:val="MdHeading1"/>
    <w:qFormat/>
    <w:pPr>
      <w:keepNext/>
      <w:spacing w:before="480" w:after="240"/>
      <w:outlineLvl w:val="0"/>
    </w:pPr>
    <w:rPr>
      <w:b/>
      <w:bCs/>
      <w:sz w:val="36"/>
      <w:szCs w:val="36"/>
    </w:rPr>
  </w:style>
  <w:style w:type="paragraph" w:customStyle="1" w:styleId="MdHeading2">
    <w:name w:val="MdHeading2"/>
    <w:qFormat/>
    <w:pPr>
      <w:keepNext/>
      <w:spacing w:before="400" w:after="200"/>
      <w:outlineLvl w:val="1"/>
    </w:pPr>
    <w:rPr>
      <w:b/>
      <w:bCs/>
      <w:sz w:val="32"/>
      <w:szCs w:val="32"/>
    </w:rPr>
  </w:style>
  <w:style w:type="paragraph" w:customStyle="1" w:styleId="MdHeading3">
    <w:name w:val="MdHeading3"/>
    <w:qFormat/>
    <w:pPr>
      <w:keepNext/>
      <w:spacing w:before="320" w:after="160"/>
      <w:outlineLvl w:val="2"/>
    </w:pPr>
    <w:rPr>
      <w:b/>
      <w:bCs/>
      <w:sz w:val="28"/>
      <w:szCs w:val="28"/>
    </w:rPr>
  </w:style>
  <w:style w:type="paragraph" w:customStyle="1" w:styleId="MdHeading4">
    <w:name w:val="MdHeading4"/>
    <w:qFormat/>
    <w:pPr>
      <w:keepNext/>
      <w:spacing w:before="280" w:after="140"/>
      <w:outlineLvl w:val="3"/>
    </w:pPr>
    <w:rPr>
      <w:b/>
      <w:bCs/>
      <w:sz w:val="26"/>
      <w:szCs w:val="26"/>
    </w:rPr>
  </w:style>
  <w:style w:type="paragraph" w:customStyle="1" w:styleId="MdHeading5">
    <w:name w:val="MdHeading5"/>
    <w:qFormat/>
    <w:pPr>
      <w:keepNext/>
      <w:spacing w:before="240" w:after="120"/>
      <w:outlineLvl w:val="4"/>
    </w:pPr>
    <w:rPr>
      <w:b/>
      <w:bCs/>
      <w:i/>
      <w:iCs/>
    </w:rPr>
  </w:style>
  <w:style w:type="paragraph" w:customStyle="1" w:styleId="MdHeading6">
    <w:name w:val="MdHeading6"/>
    <w:qFormat/>
    <w:pPr>
      <w:keepNext/>
      <w:spacing w:before="240" w:after="120"/>
      <w:outlineLvl w:val="5"/>
    </w:pPr>
    <w:rPr>
      <w:i/>
      <w:iCs/>
    </w:rPr>
  </w:style>
  <w:style w:type="character" w:customStyle="1" w:styleId="MdTag">
    <w:name w:val="MdTag"/>
    <w:uiPriority w:val="99"/>
    <w:unhideWhenUsed/>
    <w:qFormat/>
    <w:rPr>
      <w:rFonts w:ascii="Courier New" w:eastAsia="Courier New" w:hAnsi="Courier New" w:cs="Courier New"/>
      <w:color w:val="ED7D31"/>
    </w:rPr>
  </w:style>
  <w:style w:type="character" w:customStyle="1" w:styleId="MdLink">
    <w:name w:val="MdLink"/>
    <w:uiPriority w:val="99"/>
    <w:unhideWhenUsed/>
    <w:qFormat/>
    <w:rPr>
      <w:color w:val="0563C1"/>
      <w:u w:val="single"/>
    </w:rPr>
  </w:style>
  <w:style w:type="character" w:customStyle="1" w:styleId="MdStrong">
    <w:name w:val="MdStrong"/>
    <w:uiPriority w:val="99"/>
    <w:unhideWhenUsed/>
    <w:qFormat/>
    <w:rPr>
      <w:b/>
      <w:bCs/>
    </w:rPr>
  </w:style>
  <w:style w:type="character" w:customStyle="1" w:styleId="MdEm">
    <w:name w:val="MdEm"/>
    <w:uiPriority w:val="99"/>
    <w:unhideWhenUsed/>
    <w:qFormat/>
    <w:rPr>
      <w:i/>
      <w:iCs/>
    </w:rPr>
  </w:style>
  <w:style w:type="character" w:customStyle="1" w:styleId="MdCodespan">
    <w:name w:val="MdCodespan"/>
    <w:uiPriority w:val="99"/>
    <w:unhideWhenUsed/>
    <w:qFormat/>
    <w:rPr>
      <w:rFonts w:ascii="Courier New" w:eastAsia="Courier New" w:hAnsi="Courier New" w:cs="Courier New"/>
      <w:color w:val="70AD47"/>
    </w:rPr>
  </w:style>
  <w:style w:type="character" w:customStyle="1" w:styleId="MdDel">
    <w:name w:val="MdDel"/>
    <w:uiPriority w:val="99"/>
    <w:unhideWhenUsed/>
    <w:qFormat/>
    <w:rPr>
      <w:strike/>
    </w:rPr>
  </w:style>
  <w:style w:type="character" w:customStyle="1" w:styleId="MdBr">
    <w:name w:val="MdBr"/>
    <w:uiPriority w:val="99"/>
    <w:unhideWhenUsed/>
    <w:qFormat/>
  </w:style>
  <w:style w:type="paragraph" w:styleId="Cabealho">
    <w:name w:val="header"/>
    <w:basedOn w:val="Normal"/>
    <w:link w:val="CabealhoChar"/>
    <w:unhideWhenUsed/>
    <w:rsid w:val="00C254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25497"/>
  </w:style>
  <w:style w:type="paragraph" w:styleId="Rodap">
    <w:name w:val="footer"/>
    <w:basedOn w:val="Normal"/>
    <w:link w:val="RodapChar"/>
    <w:uiPriority w:val="99"/>
    <w:unhideWhenUsed/>
    <w:rsid w:val="00C254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25497"/>
  </w:style>
  <w:style w:type="character" w:customStyle="1" w:styleId="WW8Num1z7">
    <w:name w:val="WW8Num1z7"/>
    <w:qFormat/>
    <w:rsid w:val="00C25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1104</Words>
  <Characters>5967</Characters>
  <Application>Microsoft Office Word</Application>
  <DocSecurity>0</DocSecurity>
  <Lines>49</Lines>
  <Paragraphs>14</Paragraphs>
  <ScaleCrop>false</ScaleCrop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Converted Document</dc:title>
  <dc:creator>md2docx converter</dc:creator>
  <dc:description>Converted from Markdown</dc:description>
  <cp:lastModifiedBy>Erliton de Mello Braz</cp:lastModifiedBy>
  <cp:revision>4</cp:revision>
  <cp:lastPrinted>2026-01-07T15:59:00Z</cp:lastPrinted>
  <dcterms:created xsi:type="dcterms:W3CDTF">2026-01-06T19:19:00Z</dcterms:created>
  <dcterms:modified xsi:type="dcterms:W3CDTF">2026-01-07T15:59:00Z</dcterms:modified>
</cp:coreProperties>
</file>